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DBD" w:rsidRDefault="009B4DBD">
      <w:pPr>
        <w:rPr>
          <w:rFonts w:ascii="Verdana" w:hAnsi="Verdana"/>
          <w:b/>
          <w:sz w:val="21"/>
          <w:szCs w:val="21"/>
          <w:lang w:val="en-US"/>
        </w:rPr>
      </w:pPr>
    </w:p>
    <w:p w:rsidR="00BF107F" w:rsidRDefault="00BF107F">
      <w:pPr>
        <w:rPr>
          <w:rFonts w:ascii="Verdana" w:hAnsi="Verdana"/>
          <w:b/>
          <w:sz w:val="21"/>
          <w:szCs w:val="21"/>
          <w:lang w:val="en-US"/>
        </w:rPr>
      </w:pPr>
    </w:p>
    <w:p w:rsidR="00BF107F" w:rsidRDefault="00BF107F">
      <w:pPr>
        <w:rPr>
          <w:rFonts w:ascii="Verdana" w:hAnsi="Verdana"/>
          <w:b/>
          <w:sz w:val="21"/>
          <w:szCs w:val="21"/>
          <w:lang w:val="en-US"/>
        </w:rPr>
      </w:pPr>
    </w:p>
    <w:sdt>
      <w:sdtPr>
        <w:rPr>
          <w:rFonts w:ascii="Verdana" w:hAnsi="Verdana"/>
          <w:b/>
          <w:sz w:val="21"/>
          <w:szCs w:val="21"/>
          <w:lang w:val="en-US"/>
        </w:rPr>
        <w:id w:val="-410550395"/>
        <w:placeholder>
          <w:docPart w:val="DefaultPlaceholder_-1854013438"/>
        </w:placeholder>
        <w:showingPlcHdr/>
        <w:date>
          <w:dateFormat w:val="dd/MM/yyyy"/>
          <w:lid w:val="en-PH"/>
          <w:storeMappedDataAs w:val="dateTime"/>
          <w:calendar w:val="gregorian"/>
        </w:date>
      </w:sdtPr>
      <w:sdtContent>
        <w:p w:rsidR="00BF107F" w:rsidRDefault="00BF107F">
          <w:pPr>
            <w:rPr>
              <w:rFonts w:ascii="Verdana" w:hAnsi="Verdana"/>
              <w:b/>
              <w:sz w:val="21"/>
              <w:szCs w:val="21"/>
              <w:lang w:val="en-US"/>
            </w:rPr>
          </w:pPr>
          <w:r w:rsidRPr="0016113A">
            <w:rPr>
              <w:rStyle w:val="PlaceholderText"/>
            </w:rPr>
            <w:t>Click or tap to enter a date.</w:t>
          </w:r>
        </w:p>
      </w:sdtContent>
    </w:sdt>
    <w:p w:rsidR="00BF107F" w:rsidRPr="00BF107F" w:rsidRDefault="00BF107F">
      <w:pPr>
        <w:rPr>
          <w:rFonts w:ascii="Verdana" w:hAnsi="Verdana"/>
          <w:b/>
          <w:sz w:val="21"/>
          <w:szCs w:val="21"/>
          <w:lang w:val="en-US"/>
        </w:rPr>
      </w:pPr>
    </w:p>
    <w:p w:rsidR="009B4DBD" w:rsidRPr="00BF107F" w:rsidRDefault="009B4DBD" w:rsidP="009B4DBD">
      <w:pPr>
        <w:pStyle w:val="NoSpacing"/>
        <w:rPr>
          <w:rFonts w:ascii="Verdana" w:hAnsi="Verdana"/>
          <w:b/>
          <w:sz w:val="21"/>
          <w:szCs w:val="21"/>
          <w:lang w:val="en-US"/>
        </w:rPr>
      </w:pPr>
      <w:r w:rsidRPr="00BF107F">
        <w:rPr>
          <w:rFonts w:ascii="Verdana" w:hAnsi="Verdana"/>
          <w:b/>
          <w:sz w:val="21"/>
          <w:szCs w:val="21"/>
          <w:lang w:val="en-US"/>
        </w:rPr>
        <w:t>SECURITIES AND EXCHANGE COMMISSION</w:t>
      </w:r>
    </w:p>
    <w:p w:rsidR="009B4DBD" w:rsidRPr="00BF107F" w:rsidRDefault="009B4DBD" w:rsidP="009B4DBD">
      <w:pPr>
        <w:pStyle w:val="NoSpacing"/>
        <w:rPr>
          <w:rFonts w:ascii="Verdana" w:hAnsi="Verdana"/>
          <w:sz w:val="21"/>
          <w:szCs w:val="21"/>
          <w:lang w:val="en-US"/>
        </w:rPr>
      </w:pPr>
      <w:r w:rsidRPr="00BF107F">
        <w:rPr>
          <w:rFonts w:ascii="Verdana" w:hAnsi="Verdana"/>
          <w:sz w:val="21"/>
          <w:szCs w:val="21"/>
          <w:lang w:val="en-US"/>
        </w:rPr>
        <w:t>7907 Makati Avenue, Salcedo Village</w:t>
      </w:r>
    </w:p>
    <w:p w:rsidR="009B4DBD" w:rsidRPr="00BF107F" w:rsidRDefault="009B4DBD" w:rsidP="009B4DBD">
      <w:pPr>
        <w:pStyle w:val="NoSpacing"/>
        <w:rPr>
          <w:rFonts w:ascii="Verdana" w:hAnsi="Verdana"/>
          <w:sz w:val="21"/>
          <w:szCs w:val="21"/>
          <w:lang w:val="en-US"/>
        </w:rPr>
      </w:pPr>
      <w:r w:rsidRPr="00BF107F">
        <w:rPr>
          <w:rFonts w:ascii="Verdana" w:hAnsi="Verdana"/>
          <w:sz w:val="21"/>
          <w:szCs w:val="21"/>
          <w:lang w:val="en-US"/>
        </w:rPr>
        <w:t xml:space="preserve">Brgy. Bel-Air, Makati City </w:t>
      </w:r>
    </w:p>
    <w:p w:rsidR="009B4DBD" w:rsidRPr="00BF107F" w:rsidRDefault="009B4DBD" w:rsidP="009B4DBD">
      <w:pPr>
        <w:pStyle w:val="NoSpacing"/>
        <w:rPr>
          <w:rFonts w:ascii="Verdana" w:hAnsi="Verdana"/>
          <w:sz w:val="21"/>
          <w:szCs w:val="21"/>
          <w:lang w:val="en-US"/>
        </w:rPr>
      </w:pPr>
    </w:p>
    <w:p w:rsidR="009B4DBD" w:rsidRPr="00BF107F" w:rsidRDefault="009B4DBD">
      <w:pPr>
        <w:rPr>
          <w:rFonts w:ascii="Verdana" w:hAnsi="Verdana"/>
          <w:b/>
          <w:sz w:val="21"/>
          <w:szCs w:val="21"/>
          <w:lang w:val="en-US"/>
        </w:rPr>
      </w:pPr>
    </w:p>
    <w:p w:rsidR="009F6EE5" w:rsidRPr="00BF107F" w:rsidRDefault="009B4DBD" w:rsidP="009B4DBD">
      <w:pPr>
        <w:jc w:val="center"/>
        <w:rPr>
          <w:rFonts w:ascii="Verdana" w:hAnsi="Verdana"/>
          <w:b/>
          <w:sz w:val="21"/>
          <w:szCs w:val="21"/>
          <w:lang w:val="en-US"/>
        </w:rPr>
      </w:pPr>
      <w:r w:rsidRPr="00BF107F">
        <w:rPr>
          <w:rFonts w:ascii="Verdana" w:hAnsi="Verdana"/>
          <w:b/>
          <w:sz w:val="21"/>
          <w:szCs w:val="21"/>
          <w:lang w:val="en-US"/>
        </w:rPr>
        <w:t>AUTHORIZATION TO EXAMINE BANK ACCOUNT AND UNDERTAKING TO GRANT AUTHORITY AND PROVIDE PERTINENT BANK INFORMATION</w:t>
      </w:r>
    </w:p>
    <w:p w:rsidR="009B4DBD" w:rsidRPr="00BF107F" w:rsidRDefault="009B4DBD" w:rsidP="009B4DBD">
      <w:pPr>
        <w:jc w:val="center"/>
        <w:rPr>
          <w:rFonts w:ascii="Verdana" w:hAnsi="Verdana"/>
          <w:b/>
          <w:sz w:val="21"/>
          <w:szCs w:val="21"/>
          <w:lang w:val="en-US"/>
        </w:rPr>
      </w:pPr>
    </w:p>
    <w:p w:rsidR="009B4DBD" w:rsidRPr="00BF107F" w:rsidRDefault="009B4DBD" w:rsidP="009B4DBD">
      <w:pPr>
        <w:jc w:val="both"/>
        <w:rPr>
          <w:rFonts w:ascii="Verdana" w:hAnsi="Verdana" w:cs="Arial"/>
          <w:sz w:val="21"/>
          <w:szCs w:val="21"/>
          <w:lang w:val="en-US"/>
        </w:rPr>
      </w:pPr>
      <w:r w:rsidRPr="00BF107F">
        <w:rPr>
          <w:rFonts w:ascii="Verdana" w:hAnsi="Verdana"/>
          <w:sz w:val="21"/>
          <w:szCs w:val="21"/>
          <w:lang w:val="en-US"/>
        </w:rPr>
        <w:t xml:space="preserve">I, </w:t>
      </w:r>
      <w:sdt>
        <w:sdtPr>
          <w:rPr>
            <w:rFonts w:ascii="Verdana" w:hAnsi="Verdana"/>
            <w:sz w:val="21"/>
            <w:szCs w:val="21"/>
            <w:lang w:val="en-US"/>
          </w:rPr>
          <w:id w:val="-1326980107"/>
          <w:placeholder>
            <w:docPart w:val="DefaultPlaceholder_-1854013440"/>
          </w:placeholder>
          <w:showingPlcHdr/>
          <w:text/>
        </w:sdtPr>
        <w:sdtContent>
          <w:r w:rsidRPr="00BF107F">
            <w:rPr>
              <w:rStyle w:val="PlaceholderText"/>
              <w:rFonts w:ascii="Verdana" w:hAnsi="Verdana"/>
              <w:sz w:val="21"/>
              <w:szCs w:val="21"/>
            </w:rPr>
            <w:t>Click or tap here to enter text.</w:t>
          </w:r>
        </w:sdtContent>
      </w:sdt>
      <w:r w:rsidRPr="00BF107F">
        <w:rPr>
          <w:rFonts w:ascii="Verdana" w:hAnsi="Verdana"/>
          <w:sz w:val="21"/>
          <w:szCs w:val="21"/>
          <w:lang w:val="en-US"/>
        </w:rPr>
        <w:t xml:space="preserve"> as Chief Finance Officer/Treasurer of </w:t>
      </w:r>
      <w:sdt>
        <w:sdtPr>
          <w:rPr>
            <w:rFonts w:ascii="Verdana" w:hAnsi="Verdana"/>
            <w:sz w:val="21"/>
            <w:szCs w:val="21"/>
            <w:lang w:val="en-US"/>
          </w:rPr>
          <w:id w:val="-691152255"/>
          <w:placeholder>
            <w:docPart w:val="DefaultPlaceholder_-1854013440"/>
          </w:placeholder>
          <w:showingPlcHdr/>
          <w:text/>
        </w:sdtPr>
        <w:sdtContent>
          <w:r w:rsidRPr="00BF107F">
            <w:rPr>
              <w:rStyle w:val="PlaceholderText"/>
              <w:rFonts w:ascii="Verdana" w:hAnsi="Verdana"/>
              <w:sz w:val="21"/>
              <w:szCs w:val="21"/>
            </w:rPr>
            <w:t>Click or tap here to enter text.</w:t>
          </w:r>
        </w:sdtContent>
      </w:sdt>
      <w:r w:rsidRPr="00BF107F">
        <w:rPr>
          <w:rFonts w:ascii="Verdana" w:hAnsi="Verdana"/>
          <w:sz w:val="21"/>
          <w:szCs w:val="21"/>
          <w:lang w:val="en-US"/>
        </w:rPr>
        <w:t xml:space="preserve"> (the “</w:t>
      </w:r>
      <w:r w:rsidRPr="00BF107F">
        <w:rPr>
          <w:rFonts w:ascii="Verdana" w:hAnsi="Verdana"/>
          <w:b/>
          <w:sz w:val="21"/>
          <w:szCs w:val="21"/>
          <w:lang w:val="en-US"/>
        </w:rPr>
        <w:t>Corporation</w:t>
      </w:r>
      <w:r w:rsidRPr="00BF107F">
        <w:rPr>
          <w:rFonts w:ascii="Verdana" w:hAnsi="Verdana"/>
          <w:sz w:val="21"/>
          <w:szCs w:val="21"/>
          <w:lang w:val="en-US"/>
        </w:rPr>
        <w:t xml:space="preserve">”), with office address at </w:t>
      </w:r>
      <w:sdt>
        <w:sdtPr>
          <w:rPr>
            <w:rFonts w:ascii="Verdana" w:hAnsi="Verdana"/>
            <w:sz w:val="21"/>
            <w:szCs w:val="21"/>
            <w:lang w:val="en-US"/>
          </w:rPr>
          <w:id w:val="-469825326"/>
          <w:placeholder>
            <w:docPart w:val="DefaultPlaceholder_-1854013440"/>
          </w:placeholder>
          <w:showingPlcHdr/>
          <w:text/>
        </w:sdtPr>
        <w:sdtContent>
          <w:r w:rsidRPr="00BF107F">
            <w:rPr>
              <w:rStyle w:val="PlaceholderText"/>
              <w:rFonts w:ascii="Verdana" w:hAnsi="Verdana"/>
              <w:sz w:val="21"/>
              <w:szCs w:val="21"/>
            </w:rPr>
            <w:t>Click or tap here to enter text.</w:t>
          </w:r>
        </w:sdtContent>
      </w:sdt>
      <w:r w:rsidRPr="00BF107F">
        <w:rPr>
          <w:rFonts w:ascii="Verdana" w:hAnsi="Verdana"/>
          <w:sz w:val="21"/>
          <w:szCs w:val="21"/>
          <w:lang w:val="en-US"/>
        </w:rPr>
        <w:t xml:space="preserve">, as the duly authorized officer of the Corporation and in compliance with the requirements under SRC Rule 12.1 in connection with the Registration Statement filed by the Corporation relative to </w:t>
      </w:r>
      <w:sdt>
        <w:sdtPr>
          <w:rPr>
            <w:rFonts w:ascii="Verdana" w:hAnsi="Verdana"/>
            <w:sz w:val="21"/>
            <w:szCs w:val="21"/>
            <w:lang w:val="en-US"/>
          </w:rPr>
          <w:id w:val="-1506269344"/>
          <w:placeholder>
            <w:docPart w:val="DefaultPlaceholder_-1854013440"/>
          </w:placeholder>
          <w:showingPlcHdr/>
          <w:text/>
        </w:sdtPr>
        <w:sdtContent>
          <w:r w:rsidRPr="00BF107F">
            <w:rPr>
              <w:rStyle w:val="PlaceholderText"/>
              <w:rFonts w:ascii="Verdana" w:hAnsi="Verdana"/>
              <w:sz w:val="21"/>
              <w:szCs w:val="21"/>
            </w:rPr>
            <w:t>Click or tap here to enter text.</w:t>
          </w:r>
        </w:sdtContent>
      </w:sdt>
      <w:r w:rsidRPr="00BF107F">
        <w:rPr>
          <w:rFonts w:ascii="Verdana" w:hAnsi="Verdana"/>
          <w:sz w:val="21"/>
          <w:szCs w:val="21"/>
          <w:lang w:val="en-US"/>
        </w:rPr>
        <w:t xml:space="preserve"> by the Corporation of </w:t>
      </w:r>
      <w:sdt>
        <w:sdtPr>
          <w:rPr>
            <w:rFonts w:ascii="Verdana" w:hAnsi="Verdana"/>
            <w:sz w:val="21"/>
            <w:szCs w:val="21"/>
            <w:lang w:val="en-US"/>
          </w:rPr>
          <w:id w:val="-581375356"/>
          <w:placeholder>
            <w:docPart w:val="DefaultPlaceholder_-1854013440"/>
          </w:placeholder>
          <w:showingPlcHdr/>
          <w:text/>
        </w:sdtPr>
        <w:sdtContent>
          <w:r w:rsidRPr="00BF107F">
            <w:rPr>
              <w:rStyle w:val="PlaceholderText"/>
              <w:rFonts w:ascii="Verdana" w:hAnsi="Verdana"/>
              <w:sz w:val="21"/>
              <w:szCs w:val="21"/>
            </w:rPr>
            <w:t>Click or tap here to enter text.</w:t>
          </w:r>
        </w:sdtContent>
      </w:sdt>
      <w:r w:rsidRPr="00BF107F">
        <w:rPr>
          <w:rFonts w:ascii="Verdana" w:hAnsi="Verdana"/>
          <w:sz w:val="21"/>
          <w:szCs w:val="21"/>
          <w:lang w:val="en-US"/>
        </w:rPr>
        <w:t xml:space="preserve"> (the “</w:t>
      </w:r>
      <w:r w:rsidRPr="00BF107F">
        <w:rPr>
          <w:rFonts w:ascii="Verdana" w:hAnsi="Verdana"/>
          <w:b/>
          <w:sz w:val="21"/>
          <w:szCs w:val="21"/>
          <w:lang w:val="en-US"/>
        </w:rPr>
        <w:t>Offered Shares</w:t>
      </w:r>
      <w:r w:rsidRPr="00BF107F">
        <w:rPr>
          <w:rFonts w:ascii="Verdana" w:hAnsi="Verdana"/>
          <w:sz w:val="21"/>
          <w:szCs w:val="21"/>
          <w:lang w:val="en-US"/>
        </w:rPr>
        <w:t xml:space="preserve">”) at an Offer Price of </w:t>
      </w:r>
      <w:r w:rsidRPr="00BF107F">
        <w:rPr>
          <w:rFonts w:ascii="Verdana" w:hAnsi="Verdana" w:cs="Arial"/>
          <w:sz w:val="21"/>
          <w:szCs w:val="21"/>
          <w:lang w:val="en-US"/>
        </w:rPr>
        <w:t>₱</w:t>
      </w:r>
      <w:sdt>
        <w:sdtPr>
          <w:rPr>
            <w:rFonts w:ascii="Verdana" w:hAnsi="Verdana" w:cs="Arial"/>
            <w:sz w:val="21"/>
            <w:szCs w:val="21"/>
            <w:lang w:val="en-US"/>
          </w:rPr>
          <w:id w:val="926146830"/>
          <w:placeholder>
            <w:docPart w:val="DefaultPlaceholder_-1854013440"/>
          </w:placeholder>
          <w:showingPlcHdr/>
          <w:text/>
        </w:sdtPr>
        <w:sdtContent>
          <w:r w:rsidRPr="00BF107F">
            <w:rPr>
              <w:rStyle w:val="PlaceholderText"/>
              <w:rFonts w:ascii="Verdana" w:hAnsi="Verdana"/>
              <w:sz w:val="21"/>
              <w:szCs w:val="21"/>
            </w:rPr>
            <w:t>Click or tap here to enter text.</w:t>
          </w:r>
        </w:sdtContent>
      </w:sdt>
      <w:r w:rsidRPr="00BF107F">
        <w:rPr>
          <w:rFonts w:ascii="Verdana" w:hAnsi="Verdana" w:cs="Arial"/>
          <w:sz w:val="21"/>
          <w:szCs w:val="21"/>
          <w:lang w:val="en-US"/>
        </w:rPr>
        <w:t>per share equivalent to an aggregate ₱</w:t>
      </w:r>
      <w:sdt>
        <w:sdtPr>
          <w:rPr>
            <w:rFonts w:ascii="Verdana" w:hAnsi="Verdana" w:cs="Arial"/>
            <w:sz w:val="21"/>
            <w:szCs w:val="21"/>
            <w:lang w:val="en-US"/>
          </w:rPr>
          <w:id w:val="1386221104"/>
          <w:placeholder>
            <w:docPart w:val="DefaultPlaceholder_-1854013440"/>
          </w:placeholder>
          <w:showingPlcHdr/>
          <w:text/>
        </w:sdtPr>
        <w:sdtContent>
          <w:r w:rsidRPr="00BF107F">
            <w:rPr>
              <w:rStyle w:val="PlaceholderText"/>
              <w:rFonts w:ascii="Verdana" w:hAnsi="Verdana"/>
              <w:sz w:val="21"/>
              <w:szCs w:val="21"/>
            </w:rPr>
            <w:t>Click or tap here to enter text.</w:t>
          </w:r>
        </w:sdtContent>
      </w:sdt>
      <w:r w:rsidRPr="00BF107F">
        <w:rPr>
          <w:rFonts w:ascii="Verdana" w:hAnsi="Verdana" w:cs="Arial"/>
          <w:sz w:val="21"/>
          <w:szCs w:val="21"/>
          <w:lang w:val="en-US"/>
        </w:rPr>
        <w:t>, hereby authorize the Securities and Exchange Commission and its duly authorized representatives (“SEC”) to access, inspect and copy all of the bank accounts of the Corporation and all of its subsidiaries.</w:t>
      </w:r>
    </w:p>
    <w:p w:rsidR="009B4DBD" w:rsidRPr="00BF107F" w:rsidRDefault="009B4DBD" w:rsidP="009B4DBD">
      <w:pPr>
        <w:jc w:val="both"/>
        <w:rPr>
          <w:rFonts w:ascii="Verdana" w:hAnsi="Verdana" w:cs="Arial"/>
          <w:sz w:val="21"/>
          <w:szCs w:val="21"/>
          <w:lang w:val="en-US"/>
        </w:rPr>
      </w:pPr>
      <w:r w:rsidRPr="00BF107F">
        <w:rPr>
          <w:rFonts w:ascii="Verdana" w:hAnsi="Verdana" w:cs="Arial"/>
          <w:sz w:val="21"/>
          <w:szCs w:val="21"/>
          <w:lang w:val="en-US"/>
        </w:rPr>
        <w:t>This authorization shall be for all banks, domestic or foreign, wherein accounts are maintained and shall be continuous for as long as the registration of securities of the Corporation is effective and the Offered Shares remain outstanding.</w:t>
      </w:r>
    </w:p>
    <w:p w:rsidR="00BF107F" w:rsidRPr="00BF107F" w:rsidRDefault="00BF107F" w:rsidP="009B4DBD">
      <w:pPr>
        <w:jc w:val="both"/>
        <w:rPr>
          <w:rFonts w:ascii="Verdana" w:hAnsi="Verdana" w:cs="Arial"/>
          <w:sz w:val="21"/>
          <w:szCs w:val="21"/>
          <w:lang w:val="en-US"/>
        </w:rPr>
      </w:pPr>
      <w:r w:rsidRPr="00BF107F">
        <w:rPr>
          <w:rFonts w:ascii="Verdana" w:hAnsi="Verdana" w:cs="Arial"/>
          <w:sz w:val="21"/>
          <w:szCs w:val="21"/>
          <w:lang w:val="en-US"/>
        </w:rPr>
        <w:t>The said authority to access, inspect and copy of the Bank accounts shall also apply to person/entities that are under common control with or by the Company.</w:t>
      </w:r>
    </w:p>
    <w:p w:rsidR="009B4DBD" w:rsidRPr="00BF107F" w:rsidRDefault="00B557BF" w:rsidP="009B4DBD">
      <w:pPr>
        <w:jc w:val="both"/>
        <w:rPr>
          <w:rFonts w:ascii="Verdana" w:hAnsi="Verdana" w:cs="Arial"/>
          <w:sz w:val="21"/>
          <w:szCs w:val="21"/>
          <w:lang w:val="en-US"/>
        </w:rPr>
      </w:pPr>
      <w:r w:rsidRPr="00BF107F">
        <w:rPr>
          <w:rFonts w:ascii="Verdana" w:hAnsi="Verdana" w:cs="Arial"/>
          <w:sz w:val="21"/>
          <w:szCs w:val="21"/>
          <w:lang w:val="en-US"/>
        </w:rPr>
        <w:t>The proceeds of the Offer Shares will be remitted to the following bank account of the Company.</w:t>
      </w:r>
    </w:p>
    <w:tbl>
      <w:tblPr>
        <w:tblStyle w:val="TableGrid"/>
        <w:tblW w:w="0" w:type="auto"/>
        <w:tblInd w:w="279" w:type="dxa"/>
        <w:tblLook w:val="04A0" w:firstRow="1" w:lastRow="0" w:firstColumn="1" w:lastColumn="0" w:noHBand="0" w:noVBand="1"/>
      </w:tblPr>
      <w:tblGrid>
        <w:gridCol w:w="3118"/>
        <w:gridCol w:w="5670"/>
      </w:tblGrid>
      <w:tr w:rsidR="00B557BF" w:rsidRPr="00BF107F" w:rsidTr="00A036CB">
        <w:tc>
          <w:tcPr>
            <w:tcW w:w="3118" w:type="dxa"/>
          </w:tcPr>
          <w:p w:rsidR="00B557BF" w:rsidRPr="00BF107F" w:rsidRDefault="00B557BF" w:rsidP="009B4DBD">
            <w:pPr>
              <w:jc w:val="both"/>
              <w:rPr>
                <w:rFonts w:ascii="Verdana" w:hAnsi="Verdana"/>
                <w:sz w:val="21"/>
                <w:szCs w:val="21"/>
                <w:lang w:val="en-US"/>
              </w:rPr>
            </w:pPr>
            <w:r w:rsidRPr="00BF107F">
              <w:rPr>
                <w:rFonts w:ascii="Verdana" w:hAnsi="Verdana"/>
                <w:sz w:val="21"/>
                <w:szCs w:val="21"/>
                <w:lang w:val="en-US"/>
              </w:rPr>
              <w:t>Bank</w:t>
            </w:r>
          </w:p>
        </w:tc>
        <w:sdt>
          <w:sdtPr>
            <w:rPr>
              <w:rFonts w:ascii="Verdana" w:hAnsi="Verdana"/>
              <w:sz w:val="21"/>
              <w:szCs w:val="21"/>
              <w:lang w:val="en-US"/>
            </w:rPr>
            <w:id w:val="1755314458"/>
            <w:placeholder>
              <w:docPart w:val="DefaultPlaceholder_-1854013440"/>
            </w:placeholder>
            <w:showingPlcHdr/>
            <w:text/>
          </w:sdtPr>
          <w:sdtContent>
            <w:tc>
              <w:tcPr>
                <w:tcW w:w="5670" w:type="dxa"/>
              </w:tcPr>
              <w:p w:rsidR="00B557BF" w:rsidRPr="00BF107F" w:rsidRDefault="00B557BF" w:rsidP="00A036CB">
                <w:pPr>
                  <w:ind w:left="179"/>
                  <w:jc w:val="both"/>
                  <w:rPr>
                    <w:rFonts w:ascii="Verdana" w:hAnsi="Verdana"/>
                    <w:sz w:val="21"/>
                    <w:szCs w:val="21"/>
                    <w:lang w:val="en-US"/>
                  </w:rPr>
                </w:pPr>
                <w:r w:rsidRPr="00BF107F">
                  <w:rPr>
                    <w:rStyle w:val="PlaceholderText"/>
                    <w:rFonts w:ascii="Verdana" w:hAnsi="Verdana"/>
                    <w:sz w:val="21"/>
                    <w:szCs w:val="21"/>
                  </w:rPr>
                  <w:t>Click or tap here to enter text.</w:t>
                </w:r>
              </w:p>
            </w:tc>
          </w:sdtContent>
        </w:sdt>
      </w:tr>
      <w:tr w:rsidR="00B557BF" w:rsidRPr="00BF107F" w:rsidTr="00A036CB">
        <w:tc>
          <w:tcPr>
            <w:tcW w:w="3118" w:type="dxa"/>
          </w:tcPr>
          <w:p w:rsidR="00B557BF" w:rsidRPr="00BF107F" w:rsidRDefault="00B557BF" w:rsidP="009B4DBD">
            <w:pPr>
              <w:jc w:val="both"/>
              <w:rPr>
                <w:rFonts w:ascii="Verdana" w:hAnsi="Verdana"/>
                <w:sz w:val="21"/>
                <w:szCs w:val="21"/>
                <w:lang w:val="en-US"/>
              </w:rPr>
            </w:pPr>
            <w:r w:rsidRPr="00BF107F">
              <w:rPr>
                <w:rFonts w:ascii="Verdana" w:hAnsi="Verdana"/>
                <w:sz w:val="21"/>
                <w:szCs w:val="21"/>
                <w:lang w:val="en-US"/>
              </w:rPr>
              <w:t>Branch</w:t>
            </w:r>
          </w:p>
        </w:tc>
        <w:sdt>
          <w:sdtPr>
            <w:rPr>
              <w:rFonts w:ascii="Verdana" w:hAnsi="Verdana"/>
              <w:sz w:val="21"/>
              <w:szCs w:val="21"/>
              <w:lang w:val="en-US"/>
            </w:rPr>
            <w:id w:val="-1098169901"/>
            <w:placeholder>
              <w:docPart w:val="DefaultPlaceholder_-1854013440"/>
            </w:placeholder>
            <w:showingPlcHdr/>
            <w:text/>
          </w:sdtPr>
          <w:sdtContent>
            <w:tc>
              <w:tcPr>
                <w:tcW w:w="5670" w:type="dxa"/>
              </w:tcPr>
              <w:p w:rsidR="00B557BF" w:rsidRPr="00BF107F" w:rsidRDefault="00B557BF" w:rsidP="00A036CB">
                <w:pPr>
                  <w:ind w:left="179"/>
                  <w:jc w:val="both"/>
                  <w:rPr>
                    <w:rFonts w:ascii="Verdana" w:hAnsi="Verdana"/>
                    <w:sz w:val="21"/>
                    <w:szCs w:val="21"/>
                    <w:lang w:val="en-US"/>
                  </w:rPr>
                </w:pPr>
                <w:r w:rsidRPr="00BF107F">
                  <w:rPr>
                    <w:rStyle w:val="PlaceholderText"/>
                    <w:rFonts w:ascii="Verdana" w:hAnsi="Verdana"/>
                    <w:sz w:val="21"/>
                    <w:szCs w:val="21"/>
                  </w:rPr>
                  <w:t>Click or tap here to enter text.</w:t>
                </w:r>
              </w:p>
            </w:tc>
          </w:sdtContent>
        </w:sdt>
      </w:tr>
      <w:tr w:rsidR="00B557BF" w:rsidRPr="00BF107F" w:rsidTr="00A036CB">
        <w:tc>
          <w:tcPr>
            <w:tcW w:w="3118" w:type="dxa"/>
          </w:tcPr>
          <w:p w:rsidR="00B557BF" w:rsidRPr="00BF107F" w:rsidRDefault="00B557BF" w:rsidP="009B4DBD">
            <w:pPr>
              <w:jc w:val="both"/>
              <w:rPr>
                <w:rFonts w:ascii="Verdana" w:hAnsi="Verdana"/>
                <w:sz w:val="21"/>
                <w:szCs w:val="21"/>
                <w:lang w:val="en-US"/>
              </w:rPr>
            </w:pPr>
            <w:r w:rsidRPr="00BF107F">
              <w:rPr>
                <w:rFonts w:ascii="Verdana" w:hAnsi="Verdana"/>
                <w:sz w:val="21"/>
                <w:szCs w:val="21"/>
                <w:lang w:val="en-US"/>
              </w:rPr>
              <w:t>Account Type and Number</w:t>
            </w:r>
          </w:p>
        </w:tc>
        <w:sdt>
          <w:sdtPr>
            <w:rPr>
              <w:rFonts w:ascii="Verdana" w:hAnsi="Verdana"/>
              <w:sz w:val="21"/>
              <w:szCs w:val="21"/>
              <w:lang w:val="en-US"/>
            </w:rPr>
            <w:id w:val="-2118289034"/>
            <w:placeholder>
              <w:docPart w:val="DefaultPlaceholder_-1854013440"/>
            </w:placeholder>
            <w:showingPlcHdr/>
            <w:text/>
          </w:sdtPr>
          <w:sdtContent>
            <w:tc>
              <w:tcPr>
                <w:tcW w:w="5670" w:type="dxa"/>
              </w:tcPr>
              <w:p w:rsidR="00B557BF" w:rsidRPr="00BF107F" w:rsidRDefault="00B557BF" w:rsidP="00A036CB">
                <w:pPr>
                  <w:ind w:left="179"/>
                  <w:jc w:val="both"/>
                  <w:rPr>
                    <w:rFonts w:ascii="Verdana" w:hAnsi="Verdana"/>
                    <w:sz w:val="21"/>
                    <w:szCs w:val="21"/>
                    <w:lang w:val="en-US"/>
                  </w:rPr>
                </w:pPr>
                <w:r w:rsidRPr="00BF107F">
                  <w:rPr>
                    <w:rStyle w:val="PlaceholderText"/>
                    <w:rFonts w:ascii="Verdana" w:hAnsi="Verdana"/>
                    <w:sz w:val="21"/>
                    <w:szCs w:val="21"/>
                  </w:rPr>
                  <w:t>Click or tap here to enter text.</w:t>
                </w:r>
              </w:p>
            </w:tc>
          </w:sdtContent>
        </w:sdt>
      </w:tr>
    </w:tbl>
    <w:p w:rsidR="00B557BF" w:rsidRPr="00BF107F" w:rsidRDefault="00B557BF" w:rsidP="009B4DBD">
      <w:pPr>
        <w:jc w:val="both"/>
        <w:rPr>
          <w:rFonts w:ascii="Verdana" w:hAnsi="Verdana"/>
          <w:sz w:val="21"/>
          <w:szCs w:val="21"/>
          <w:lang w:val="en-US"/>
        </w:rPr>
      </w:pPr>
    </w:p>
    <w:p w:rsidR="00B557BF" w:rsidRPr="00BF107F" w:rsidRDefault="00B557BF" w:rsidP="009B4DBD">
      <w:pPr>
        <w:jc w:val="both"/>
        <w:rPr>
          <w:rFonts w:ascii="Verdana" w:hAnsi="Verdana"/>
          <w:sz w:val="21"/>
          <w:szCs w:val="21"/>
          <w:lang w:val="en-US"/>
        </w:rPr>
      </w:pPr>
      <w:r w:rsidRPr="00BF107F">
        <w:rPr>
          <w:rFonts w:ascii="Verdana" w:hAnsi="Verdana"/>
          <w:sz w:val="21"/>
          <w:szCs w:val="21"/>
          <w:lang w:val="en-US"/>
        </w:rPr>
        <w:t xml:space="preserve">I further undertake to grant to the appropriate department of the SEC the necessary authority and to provide the details of the bank accounts of the Corporation and its subsidiaries for the purpose of verification by the SEC that the proceeds of the Offer Shares are used (or have been used) in accordance with the representations of the </w:t>
      </w:r>
      <w:r w:rsidRPr="00BF107F">
        <w:rPr>
          <w:rFonts w:ascii="Verdana" w:hAnsi="Verdana"/>
          <w:sz w:val="21"/>
          <w:szCs w:val="21"/>
          <w:lang w:val="en-US"/>
        </w:rPr>
        <w:lastRenderedPageBreak/>
        <w:t xml:space="preserve">Corporation and that the terms and conditions for the issuance of the Offer Shares have been complied with.  </w:t>
      </w:r>
    </w:p>
    <w:p w:rsidR="00B557BF" w:rsidRPr="00BF107F" w:rsidRDefault="00B557BF" w:rsidP="009B4DBD">
      <w:pPr>
        <w:jc w:val="both"/>
        <w:rPr>
          <w:rFonts w:ascii="Verdana" w:hAnsi="Verdana"/>
          <w:sz w:val="21"/>
          <w:szCs w:val="21"/>
          <w:lang w:val="en-US"/>
        </w:rPr>
      </w:pPr>
      <w:r w:rsidRPr="00BF107F">
        <w:rPr>
          <w:rFonts w:ascii="Verdana" w:hAnsi="Verdana"/>
          <w:sz w:val="21"/>
          <w:szCs w:val="21"/>
          <w:lang w:val="en-US"/>
        </w:rPr>
        <w:t>The Company hereby absolves and renders harmless SEC and its duly-authorized representatives from any and all complaints, cause of action and suits, civil and criminal, that may be filed in relation to the issuance of this authorization and its exercise by SEC of its duly.</w:t>
      </w:r>
    </w:p>
    <w:p w:rsidR="00B557BF" w:rsidRPr="00BF107F" w:rsidRDefault="00B557BF" w:rsidP="009B4DBD">
      <w:pPr>
        <w:jc w:val="both"/>
        <w:rPr>
          <w:rFonts w:ascii="Verdana" w:hAnsi="Verdana"/>
          <w:sz w:val="21"/>
          <w:szCs w:val="21"/>
          <w:lang w:val="en-US"/>
        </w:rPr>
      </w:pPr>
    </w:p>
    <w:p w:rsidR="00B557BF" w:rsidRPr="00BF107F" w:rsidRDefault="00B557BF" w:rsidP="009B4DBD">
      <w:pPr>
        <w:jc w:val="both"/>
        <w:rPr>
          <w:rFonts w:ascii="Verdana" w:hAnsi="Verdana"/>
          <w:sz w:val="21"/>
          <w:szCs w:val="21"/>
          <w:lang w:val="en-US"/>
        </w:rPr>
      </w:pPr>
      <w:r w:rsidRPr="00BF107F">
        <w:rPr>
          <w:rFonts w:ascii="Verdana" w:hAnsi="Verdana"/>
          <w:sz w:val="21"/>
          <w:szCs w:val="21"/>
          <w:lang w:val="en-US"/>
        </w:rPr>
        <w:t>Very truly yours,</w:t>
      </w:r>
    </w:p>
    <w:p w:rsidR="00B557BF" w:rsidRPr="00BF107F" w:rsidRDefault="00B557BF" w:rsidP="009B4DBD">
      <w:pPr>
        <w:jc w:val="both"/>
        <w:rPr>
          <w:rFonts w:ascii="Verdana" w:hAnsi="Verdana"/>
          <w:sz w:val="21"/>
          <w:szCs w:val="21"/>
          <w:lang w:val="en-US"/>
        </w:rPr>
      </w:pPr>
    </w:p>
    <w:sdt>
      <w:sdtPr>
        <w:rPr>
          <w:rFonts w:ascii="Verdana" w:hAnsi="Verdana"/>
          <w:sz w:val="21"/>
          <w:szCs w:val="21"/>
          <w:lang w:val="en-US"/>
        </w:rPr>
        <w:id w:val="625587917"/>
        <w:placeholder>
          <w:docPart w:val="DefaultPlaceholder_-1854013440"/>
        </w:placeholder>
        <w:text/>
      </w:sdtPr>
      <w:sdtContent>
        <w:p w:rsidR="00B557BF" w:rsidRPr="00BF107F" w:rsidRDefault="00B557BF" w:rsidP="00B557BF">
          <w:pPr>
            <w:pStyle w:val="NoSpacing"/>
            <w:rPr>
              <w:rFonts w:ascii="Verdana" w:hAnsi="Verdana"/>
              <w:sz w:val="21"/>
              <w:szCs w:val="21"/>
              <w:lang w:val="en-US"/>
            </w:rPr>
          </w:pPr>
          <w:r w:rsidRPr="00BF107F">
            <w:rPr>
              <w:rFonts w:ascii="Verdana" w:hAnsi="Verdana"/>
              <w:sz w:val="21"/>
              <w:szCs w:val="21"/>
              <w:lang w:val="en-US"/>
            </w:rPr>
            <w:t>Name</w:t>
          </w:r>
        </w:p>
      </w:sdtContent>
    </w:sdt>
    <w:sdt>
      <w:sdtPr>
        <w:rPr>
          <w:rFonts w:ascii="Verdana" w:hAnsi="Verdana"/>
          <w:sz w:val="21"/>
          <w:szCs w:val="21"/>
          <w:lang w:val="en-US"/>
        </w:rPr>
        <w:id w:val="1246536741"/>
        <w:placeholder>
          <w:docPart w:val="DefaultPlaceholder_-1854013440"/>
        </w:placeholder>
        <w:text/>
      </w:sdtPr>
      <w:sdtContent>
        <w:p w:rsidR="00B557BF" w:rsidRPr="00BF107F" w:rsidRDefault="00B557BF" w:rsidP="00B557BF">
          <w:pPr>
            <w:pStyle w:val="NoSpacing"/>
            <w:rPr>
              <w:rFonts w:ascii="Verdana" w:hAnsi="Verdana"/>
              <w:sz w:val="21"/>
              <w:szCs w:val="21"/>
              <w:lang w:val="en-US"/>
            </w:rPr>
          </w:pPr>
          <w:r w:rsidRPr="00BF107F">
            <w:rPr>
              <w:rFonts w:ascii="Verdana" w:hAnsi="Verdana"/>
              <w:sz w:val="21"/>
              <w:szCs w:val="21"/>
              <w:lang w:val="en-US"/>
            </w:rPr>
            <w:t>Designation</w:t>
          </w:r>
        </w:p>
      </w:sdtContent>
    </w:sdt>
    <w:sectPr w:rsidR="00B557BF" w:rsidRPr="00BF10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ocumentProtection w:edit="forms" w:formatting="1" w:enforcement="1" w:cryptProviderType="rsaAES" w:cryptAlgorithmClass="hash" w:cryptAlgorithmType="typeAny" w:cryptAlgorithmSid="14" w:cryptSpinCount="100000" w:hash="2yE/wMkEot1EIibFTTwKzLr2fByfxgb1J2n94cgZQRl8vzMmd8tLYFT9QmPgk0/IUf21OY3uBSRRfenutDjohA==" w:salt="p2K8qHW7Ks30Fo8zTZRF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DBD"/>
    <w:rsid w:val="00080587"/>
    <w:rsid w:val="009B4DBD"/>
    <w:rsid w:val="009F6EE5"/>
    <w:rsid w:val="00A036CB"/>
    <w:rsid w:val="00B557BF"/>
    <w:rsid w:val="00BF107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F817E"/>
  <w15:chartTrackingRefBased/>
  <w15:docId w15:val="{0B3AF16D-4805-4B00-BF19-4B49DBF6F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DBD"/>
    <w:rPr>
      <w:color w:val="808080"/>
    </w:rPr>
  </w:style>
  <w:style w:type="paragraph" w:styleId="NoSpacing">
    <w:name w:val="No Spacing"/>
    <w:uiPriority w:val="1"/>
    <w:qFormat/>
    <w:rsid w:val="009B4DBD"/>
    <w:pPr>
      <w:spacing w:after="0" w:line="240" w:lineRule="auto"/>
    </w:pPr>
  </w:style>
  <w:style w:type="table" w:styleId="TableGrid">
    <w:name w:val="Table Grid"/>
    <w:basedOn w:val="TableNormal"/>
    <w:uiPriority w:val="39"/>
    <w:rsid w:val="00B5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ED5EFB4F-0F5E-44C4-B2A0-818A571282D5}"/>
      </w:docPartPr>
      <w:docPartBody>
        <w:p w:rsidR="00000000" w:rsidRDefault="00473ED5">
          <w:r w:rsidRPr="0016113A">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50F26047-94F7-4769-BCE7-8D26E4BBE753}"/>
      </w:docPartPr>
      <w:docPartBody>
        <w:p w:rsidR="00000000" w:rsidRDefault="00473ED5">
          <w:r w:rsidRPr="001611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D5"/>
    <w:rsid w:val="00473ED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3E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2024-03-15T00:32:00Z</dcterms:created>
  <dcterms:modified xsi:type="dcterms:W3CDTF">2024-03-15T00:59:00Z</dcterms:modified>
</cp:coreProperties>
</file>